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87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510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2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3" w:type="dxa"/>
            <w:vAlign w:val="top"/>
            <w:textDirection w:val="lrTb"/>
            <w:noWrap w:val="false"/>
          </w:tcPr>
          <w:p>
            <w:pPr>
              <w:ind w:left="720" w:right="0" w:firstLine="0"/>
              <w:jc w:val="right"/>
              <w:spacing w:after="0" w:line="288" w:lineRule="atLeast"/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Доклад </w:t>
            </w:r>
            <w:r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color w:val="22272f"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государственного </w:t>
            </w: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регистратора прав</w:t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bCs/>
                <w:i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отдела государственной регистрации недвижимости № 1 </w:t>
              <w:br/>
              <w:t xml:space="preserve">Управления </w:t>
            </w:r>
            <w:r>
              <w:rPr>
                <w:bCs/>
                <w:i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Росреестра </w:t>
              <w:br/>
              <w:t xml:space="preserve">по Алтайскому краю</w:t>
            </w:r>
            <w:r>
              <w:rPr>
                <w:bCs/>
                <w:i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  <w:r>
              <w:rPr>
                <w:bCs/>
                <w:i/>
                <w:sz w:val="28"/>
                <w:szCs w:val="28"/>
              </w:rPr>
            </w:r>
          </w:p>
          <w:p>
            <w:pPr>
              <w:ind w:left="720" w:right="0" w:firstLine="0"/>
              <w:jc w:val="right"/>
              <w:spacing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i/>
                <w:iCs/>
                <w:color w:val="22272f"/>
                <w:sz w:val="28"/>
                <w:szCs w:val="28"/>
              </w:rPr>
              <w:t xml:space="preserve">Курдюмовой Я.А.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spacing w:after="0"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left="0" w:right="0" w:firstLine="0"/>
              <w:spacing w:line="288" w:lineRule="atLeast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шибки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кадастровы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инженер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допускаемые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подготовке межевых и технических планов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состав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приложения межевого плана должна быть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включена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электронная схема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расположения земельного участка, при этом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подписан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н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ЭЦП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уполномоченного должностного лица исполнительного органа государственной власти или органа местного самоуправления (п. 9 ст. 11.10 Земельного Кодекса; п. 22 - п. 25 Требований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утв.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  <w:br/>
        <w:t xml:space="preserve">от 14.12.2021 № П/0592 «Об утверждении формы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состава сведений межевого плана, требований к его подготовке»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 исключением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когда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схема представлена в форме документа </w:t>
        <w:br/>
        <w:t xml:space="preserve">на бумажном носителе - об этом указывается в акте уполномоченного органа об утверждении схемы.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</w:p>
    <w:p>
      <w:pPr>
        <w:ind w:firstLine="567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случае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если заказчиком работ является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физическо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лиц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о, 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состав приложения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межевого </w:t>
      </w:r>
      <w:hyperlink r:id="rId12" w:tooltip="consultantplus://offline/ref=EC02501F54A24466362D0BE6ABD0CE54A6A9246206655906624736B635FFC190D4379A009EC2F7E1tAx2E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плана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или технического плана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подлежит обязательному включению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согласие заказчика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кадастровых работ (физического лица) на обработку персональных данных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стречаются случаи, когда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приложении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указыва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согласие иного лица (не являющегося заказчиком). Например, за собственника действует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представитель по доверенности, заказчиком указан собственник объекта недвижимого имущества, однако в приложени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включается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согласие доверенного лица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– данное обстоятельство является основанием для приостановления по п. 7 ч. 1 ст. 26 Закона № 218-ФЗ.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Неверно указываются предельные минимальные и максимальные размеры земельных участков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том числе установленные Правилами землепользования и застройки, если действие Закона 8-ЗС на земельные участки из категории земель сельскохозяйственного назначения </w:t>
        <w:br/>
        <w:t xml:space="preserve">не распространяется.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соответствии с п. 22 Требований к подготовке 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ежевого плана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  <w:br/>
        <w:t xml:space="preserve">в случаях, предусмотренных федеральными законами, для подготовки межевого плана используются в том числе: нормативные правовые акты, устанавливающие предельные (максимальные и минимальные) размеры земельных участков.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п. 53 Требований,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предельные минимальный и максимальный размеры, соответствующие виду разрешенного использования земельного участка, указываются на основании документов, устанавливающих такие размеры в соответствии с законодательством Российской Федерации.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Сведения о таких документах указываются в </w:t>
      </w:r>
      <w:hyperlink r:id="rId13" w:tooltip="consultantplus://offline/ref=FAD7DBC41BDEBD715CEA279B46AD2E25A8754B1BE3A9085778F0D9AE15EDADD0E3978673D301BC26937A904BEF2FBB56DAD410F6F6A0F12EnDT2K" w:history="1">
        <w:r>
          <w:rPr>
            <w:rFonts w:ascii="Times New Roman" w:hAnsi="Times New Roman" w:eastAsia="Times New Roman" w:cs="Times New Roman"/>
            <w:sz w:val="28"/>
            <w:szCs w:val="28"/>
            <w:u w:val="single"/>
          </w:rPr>
          <w:t xml:space="preserve">разделе</w:t>
        </w:r>
      </w:hyperlink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 "Исходные данные".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</w:r>
      <w:r>
        <w:rPr>
          <w:rFonts w:ascii="Times New Roman" w:hAnsi="Times New Roman" w:cs="Times New Roman"/>
          <w:sz w:val="28"/>
          <w:szCs w:val="28"/>
          <w:u w:val="single"/>
        </w:rPr>
      </w:r>
    </w:p>
    <w:p>
      <w:pPr>
        <w:ind w:firstLine="567"/>
        <w:jc w:val="both"/>
        <w:spacing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Если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площадь,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указанная в 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ежевом плане,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будет больше площади, сведения о которой содержатся 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ЕГРН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величину более чем предельный минимальный размер земельного участка, установленный в соответствии </w:t>
        <w:br/>
        <w:t xml:space="preserve">с земельным законодательством,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то данное обстоятельство будет являться основанием для приостановления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силу п. 32 ч. 1 ст. 26 Закона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поэтому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обратите внимание на правильность заполнения данных сведений </w:t>
        <w:br/>
        <w:t xml:space="preserve">в отношении земельных участков, 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которых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результате уточнения увеличивается площадь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ind w:firstLine="567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  <w:t xml:space="preserve">В случае государственного кадастрового учета земельных участков категории земель сельскохозяйственного назначения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 (когда применяются положения о минимальном размере земельного участка по закону 8-ЗС), способ образования земельных участков не имеет значения: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образование из земель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или из земельного участка с сохранением в измененных границах: площадь земельного участка (в т.ч. сохраненного в измененных границах),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должна быть не менее 25000 кв. м.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67"/>
        <w:jc w:val="both"/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pStyle w:val="842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Федеральны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19.12.2023 № 608-ФЗ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внесены изменения </w:t>
        <w:br/>
        <w:t xml:space="preserve">в статью 19 Закона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218-ФЗ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в которой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законодатель установил обязанность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органов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осуществляющи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х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согласование перепланировки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помещения </w:t>
        <w:br/>
        <w:t xml:space="preserve">в многоквартирном доме,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направлять в электронной форме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в орган регистрации прав заявление об осуществлении государственного кадастрового учета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Таким образом, правообладатель помещения в подаче заявления о государственном кадастровом учете изменений не участвует.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2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основании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ч. 4 ст. 53 Закона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218-ФЗ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если в отношении объекта недвижимого имущества или права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объект недвижимости осуществлена государственная регистрация ипотеки, перехода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права собственности на такой объект недвижимости или данного права, возникновения,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перехода или прекращения иных обременений такого объекта недвижимого имущества или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ограничений данного права, внесение изменений в сведения, содержащиеся в Едином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государственном реестре недвижимости, о таком объекте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недвижимого имущества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осуществляется при наличии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письменного согласия залогодержателя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если иное 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установлено настоящим Федеральным законом или договором об ипотеке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Прошу Кадастровых инженеров обращать внимание на наличие зарегистрированной ипотеки в отношении помещения в МКД и при подготовке Технических планов предлагать собственнику запрашивать такие согласия у залогодержателя для включения в Технический план.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2"/>
        <w:ind w:left="0" w:righ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Неверно 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заполняется </w:t>
      </w:r>
      <w:r>
        <w:rPr>
          <w:rFonts w:ascii="Times New Roman" w:hAnsi="Times New Roman" w:eastAsia="Times New Roman" w:cs="Times New Roman"/>
          <w:b/>
          <w:iCs/>
          <w:sz w:val="28"/>
          <w:szCs w:val="28"/>
        </w:rPr>
        <w:t xml:space="preserve">адрес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 объекта недвижимости</w:t>
      </w:r>
      <w:r>
        <w:rPr>
          <w:rFonts w:ascii="Times New Roman" w:hAnsi="Times New Roman" w:eastAsia="Times New Roman" w:cs="Times New Roman"/>
          <w:iCs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i/>
          <w:iCs/>
          <w:sz w:val="28"/>
          <w:szCs w:val="28"/>
        </w:rPr>
      </w:r>
      <w:r>
        <w:rPr>
          <w:rFonts w:ascii="Times New Roman" w:hAnsi="Times New Roman" w:cs="Times New Roman"/>
          <w:i/>
          <w:iCs/>
          <w:sz w:val="28"/>
          <w:szCs w:val="28"/>
        </w:rPr>
      </w:r>
    </w:p>
    <w:p>
      <w:pPr>
        <w:pStyle w:val="8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Установленный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адрес заполняется при наличии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сведений в ФИАС, либо </w:t>
        <w:br/>
        <w:t xml:space="preserve">на основании акта органа государственной власти или органа местного самоуправления, уполномоченных на присвоение адресов объектам недвижимости, в случае, если адрес установлен до вступления в силу Постановления № 1221 от 19.11.2014.</w:t>
      </w:r>
      <w:r>
        <w:rPr>
          <w:rFonts w:ascii="Times New Roman" w:hAnsi="Times New Roman" w:eastAsia="Times New Roman" w:cs="Times New Roman"/>
          <w:sz w:val="28"/>
          <w:szCs w:val="28"/>
        </w:rPr>
        <w:tab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отсутствии установленного адреса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указывается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местоположение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объекта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бования к точности и методам определения координат характерных точек границ земельного участка, требования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у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тверждены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23.10.2020 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/0393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(ред. от 29.10.2021) «Об утверждении требований к точности и методам определения координат характерных точек грани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машино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-места» (Зарегистрировано в Минюсте России 16.11.2020 № 60938)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Согласно п. 6. Требований фактическая величина средней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квадратической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погрешности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определения координат характерной точки границы земельного участка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sz w:val="28"/>
          <w:szCs w:val="28"/>
          <w:u w:val="single"/>
        </w:rPr>
        <w:t xml:space="preserve">не должна превышать значения точности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(средней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квадратической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погрешности) определения координат характерных точек границ земельных участков из установленных в </w:t>
      </w:r>
      <w:hyperlink r:id="rId14" w:tooltip="https://login.consultant.ru/link/?req=doc&amp;base=LAW&amp;n=405960&amp;dst=100101" w:history="1">
        <w:r>
          <w:rPr>
            <w:rFonts w:ascii="Times New Roman" w:hAnsi="Times New Roman" w:eastAsia="Times New Roman" w:cs="Times New Roman"/>
            <w:color w:val="000000" w:themeColor="text1"/>
            <w:sz w:val="28"/>
            <w:szCs w:val="28"/>
          </w:rPr>
          <w:t xml:space="preserve">приложении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  <w:br/>
        <w:t xml:space="preserve">к настоящим требованиям.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силу п. 16 Требований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если смежные земельные участки имеют различные требования к точности определения координат их характерных точек, то </w:t>
      </w:r>
      <w:r>
        <w:rPr>
          <w:rFonts w:ascii="Times New Roman" w:hAnsi="Times New Roman" w:eastAsia="Times New Roman" w:cs="Times New Roman"/>
          <w:sz w:val="28"/>
          <w:szCs w:val="28"/>
          <w:u w:val="single"/>
        </w:rPr>
        <w:t xml:space="preserve">общие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характерные точки границ земельных участков определяются с точностью, соответствующей наиболее высокой точности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определения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координат характерных точек границ земельного участка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Особенно часто допускаются ошибки в части указания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средней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квадратической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погрешности земельных участк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отнесенных 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землям сельскохозяйственного назначения и предоставленные для ведения личного подсобного хозяйства, огородничества, садоводства, строительства гаража для собственных нужд или индивидуального жилищного строительства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–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правильная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средняя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квадратическая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погрешность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0,2,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а не 2,5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Par5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Обращаю внимание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что данная ошибка является основанием для приостановления в силу п. 19.1 ч. 1 ст. 26 Закона 218-ФЗ.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7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Возникают ситуации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 обращении о Постановке на ГКУ в связ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</w:t>
        <w:br/>
        <w:t xml:space="preserve">с образованием ЗУ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: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когда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образуемый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 основании утвержденной схемы расположения земельного участка на кадастровом плане территории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из земель, государственная собственность на которые на разграничена,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емельный участок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пересекает границы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населенного пункта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террзоны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адастровому инженеру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заявителю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органу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местного самоуправления)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направляются замечания. И после исправления замечаний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оказывается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что пересечения устранены, но явно поменялась конфигурация ЗУ, однако изменения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схему расположения НЕ ВНЕСЕНЫ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Прошу Кадастровых инженеров обращать на это внимание.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8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Замечания,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касающиеся корректного присвоения кадастровых номеров объектам в соответствии с вступившим в силу 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3.10.2023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риказ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 утверждении порядка кадастрового деления территории РФ, порядка присвоения объектам недвижимости кадастровых номеров, номеров регистрации, реестровых номеров границ»</w:t>
      </w:r>
      <w:r>
        <w:rPr>
          <w:rFonts w:ascii="Times New Roman" w:hAnsi="Times New Roman" w:eastAsia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/0183 от 22.05.2023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Прошу обратить внимание Кадастровых инженеров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что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 осуществлении учетно-регистрационных действий на этапе проведения проверок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государственный регистрато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проверяет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номера кадастрового квартала, указанного в поступивш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межев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фактическому расположению земельного участка в кадастровом квартале, учетный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номер которого подлежит применению при присвоении кадастровых номеров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объектам недвижимости в соответствии с требованиями Порядка присвоения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номеров 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 выявлении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несоответствия заявленного номера кадастрового квартала,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указанного в поступивш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межев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ом плане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фактическому расположению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земельного участка в кадастровом квартале и требованиям Порядка присвоения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номеров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имеет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основания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приостанавливать осуществление государственного кадастрового учета 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(или) государственной регистрации прав по решению государственного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регистратора прав в соответствии с пунктом 7 части 1 статьи 26 Закона </w:t>
        <w:br/>
        <w:t xml:space="preserve">№ 218-ФЗ.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9.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Приказом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от 04.03.2022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/0072 утверждена форма декларации об объекте недвижимости, требования к ее подготовке, состав содержащихся в ней сведений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Частой ошибкой при заполнении декларации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части указания назначения здания, если это Жилой дом,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указывается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Жилое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необходимо указывать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ЖИЛОЙ ДОМ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», т.к.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 п.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 ч. 5 ст. 8 Закона 218-ФЗ, назначение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 здания могут быть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следующие:- нежилое, - многоквартирный дом, -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жилой дом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- садовый дом, - гараж.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(назначение: жилое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– только у помещений)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  <w:u w:val="none"/>
        </w:rPr>
        <w:t xml:space="preserve">10.</w:t>
      </w:r>
      <w:r>
        <w:rPr>
          <w:rFonts w:ascii="Times New Roman" w:hAnsi="Times New Roman" w:eastAsia="Times New Roman" w:cs="Times New Roman"/>
          <w:b/>
          <w:bCs/>
          <w:i w:val="0"/>
          <w:i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  <w:t xml:space="preserve">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  <w:t xml:space="preserve"> разделе «Исходные данные» технического плана отсутствуют следующие сведения об используемых картографических материалах: масштаб соответствующего картографического произведения, дата его создания и при наличии - дата последнего обновления (пункт 30 Требов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  <w:t xml:space="preserve">аний, утв. приказом № П/0082);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  <w:t xml:space="preserve">в разделе «Исходные данные» межевых планов отсутствуют сведения </w:t>
        <w:br/>
        <w:t xml:space="preserve">об использованном актуальном в период выполнения кадастровых работ картографическом материале (пункт 24 Требований, утв. приказом </w:t>
        <w:br/>
        <w:t xml:space="preserve">№ П/0592)</w:t>
      </w:r>
      <w:r>
        <w:rPr>
          <w:rFonts w:ascii="Times New Roman" w:hAnsi="Times New Roman" w:eastAsia="Times New Roman" w:cs="Times New Roman"/>
          <w:b w:val="0"/>
          <w:bCs w:val="0"/>
          <w:i w:val="0"/>
          <w:iCs w:val="0"/>
          <w:sz w:val="28"/>
          <w:szCs w:val="28"/>
          <w:highlight w:val="none"/>
          <w:u w:val="none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 w:val="0"/>
          <w:bCs w:val="0"/>
          <w:i w:val="0"/>
          <w:sz w:val="28"/>
          <w:szCs w:val="28"/>
          <w:highlight w:val="none"/>
          <w:u w:val="none"/>
        </w:rPr>
      </w:r>
    </w:p>
    <w:p>
      <w:pPr>
        <w:contextualSpacing/>
        <w:ind w:firstLine="539"/>
        <w:jc w:val="both"/>
        <w:spacing w:before="280" w:after="0" w:line="240" w:lineRule="auto"/>
        <w:rPr>
          <w:rFonts w:ascii="Times New Roman" w:hAnsi="Times New Roman" w:cs="Times New Roman"/>
          <w:b/>
          <w:bCs w:val="0"/>
          <w:i w:val="0"/>
          <w:sz w:val="28"/>
          <w:szCs w:val="28"/>
          <w:highlight w:val="none"/>
          <w:u w:val="none"/>
        </w:rPr>
      </w:pPr>
      <w:r>
        <w:rPr>
          <w:rFonts w:ascii="Times New Roman" w:hAnsi="Times New Roman" w:eastAsia="Times New Roman" w:cs="Times New Roman"/>
          <w:b/>
          <w:bCs w:val="0"/>
          <w:i w:val="0"/>
          <w:sz w:val="28"/>
          <w:szCs w:val="28"/>
          <w:highlight w:val="none"/>
          <w:u w:val="none"/>
        </w:rPr>
      </w:r>
      <w:r>
        <w:rPr>
          <w:rFonts w:ascii="Times New Roman" w:hAnsi="Times New Roman" w:eastAsia="Times New Roman" w:cs="Times New Roman"/>
          <w:b/>
          <w:bCs w:val="0"/>
          <w:i w:val="0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b/>
          <w:bCs w:val="0"/>
          <w:i w:val="0"/>
          <w:sz w:val="28"/>
          <w:szCs w:val="28"/>
          <w:highlight w:val="none"/>
          <w:u w:val="none"/>
        </w:rPr>
      </w:r>
    </w:p>
    <w:p>
      <w:pPr>
        <w:pStyle w:val="842"/>
        <w:ind w:left="0" w:right="0" w:firstLine="709"/>
        <w:jc w:val="both"/>
        <w:spacing w:before="0" w:after="0" w:line="57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В качестве информации и для использования в работе напоминаю, что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согласно письму Росреес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тра от 25.03.2025 № 18-2705-ТГ/25 по вопросу возможности уточнения сведений ЕГРН об описании местоположения границ земельного участка, образованного в соответствии со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схемой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 расположения земельного участка на кадастровом плане территории,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845"/>
        <w:ind w:left="0" w:right="0" w:firstLine="1134"/>
        <w:jc w:val="both"/>
        <w:spacing w:before="0" w:after="0" w:line="57" w:lineRule="atLeast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положения Земельного </w:t>
      </w:r>
      <w:hyperlink r:id="rId15" w:tooltip="https://legalacts.ru/kodeks/ZK-RF/" w:history="1">
        <w:r>
          <w:rPr>
            <w:rStyle w:val="846"/>
            <w:rFonts w:ascii="Times New Roman" w:hAnsi="Times New Roman" w:eastAsia="Times New Roman" w:cs="Times New Roman"/>
            <w:b w:val="0"/>
            <w:bCs w:val="0"/>
            <w:sz w:val="28"/>
            <w:szCs w:val="28"/>
          </w:rPr>
        </w:r>
        <w:r>
          <w:rPr>
            <w:rStyle w:val="846"/>
            <w:rFonts w:ascii="Times New Roman" w:hAnsi="Times New Roman" w:eastAsia="Times New Roman" w:cs="Times New Roman"/>
            <w:b w:val="0"/>
            <w:bCs w:val="0"/>
            <w:i w:val="0"/>
            <w:caps w:val="0"/>
            <w:smallCaps w:val="0"/>
            <w:color w:val="000000"/>
            <w:spacing w:val="0"/>
            <w:sz w:val="28"/>
            <w:szCs w:val="28"/>
            <w:u w:val="single"/>
            <w:shd w:val="clear" w:color="auto" w:fill="ffffff"/>
          </w:rPr>
          <w:t xml:space="preserve">кодекса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 Российской Федерации предусматривают возможность внесения изменений в документы, </w:t>
        <w:br/>
        <w:t xml:space="preserve">в соответствии с которыми осуществляется образование земельного участка, до осуществления государственного кадастрового учета такого земельного участка (</w:t>
      </w:r>
      <w:hyperlink r:id="rId16" w:tooltip="https://legalacts.ru/kodeks/ZK-RF/glava-i.1/statja-11.9/#002604" w:history="1">
        <w:r>
          <w:rPr>
            <w:rStyle w:val="846"/>
            <w:rFonts w:ascii="Times New Roman" w:hAnsi="Times New Roman" w:eastAsia="Times New Roman" w:cs="Times New Roman"/>
            <w:b w:val="0"/>
            <w:bCs w:val="0"/>
            <w:sz w:val="28"/>
            <w:szCs w:val="28"/>
          </w:rPr>
        </w:r>
        <w:r>
          <w:rPr>
            <w:rStyle w:val="846"/>
            <w:rFonts w:ascii="Times New Roman" w:hAnsi="Times New Roman" w:eastAsia="Times New Roman" w:cs="Times New Roman"/>
            <w:b w:val="0"/>
            <w:bCs w:val="0"/>
            <w:i w:val="0"/>
            <w:caps w:val="0"/>
            <w:smallCaps w:val="0"/>
            <w:color w:val="000000"/>
            <w:spacing w:val="0"/>
            <w:sz w:val="28"/>
            <w:szCs w:val="28"/>
            <w:u w:val="single"/>
            <w:shd w:val="clear" w:color="auto" w:fill="ffffff"/>
          </w:rPr>
          <w:t xml:space="preserve">пункт 8 статьи 11.9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 Земельного кодекса Российской Федерации). </w:t>
        <w:br/>
        <w:t xml:space="preserve">В случае осуществления государственного</w:t>
      </w: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 кадастрового учета и (или) государственной регистрации прав (ограничений прав) в отношении земельного участка, образованного в соответствии со Схемой, решение </w:t>
        <w:br/>
        <w:t xml:space="preserve">об утверждении Схемы считается исполненным, и внесение изменений </w:t>
        <w:br/>
        <w:t xml:space="preserve">в такое решение не допускается.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45"/>
        <w:ind w:left="0" w:right="0" w:firstLine="1134"/>
        <w:jc w:val="both"/>
        <w:spacing w:before="0" w:after="0" w:line="57" w:lineRule="atLeast"/>
        <w:rPr>
          <w:rFonts w:ascii="Times New Roman" w:hAnsi="Times New Roman" w:cs="Times New Roman"/>
          <w:b w:val="0"/>
          <w:bCs w:val="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С учетом изложенного, в приведенном случае полагаем допустимым внесение изменений в сведения ЕГРН о местоположении границ такого земельного участка при проведении комплексных кадастровых работ или в порядке, установленном </w:t>
      </w:r>
      <w:hyperlink r:id="rId17" w:tooltip="https://legalacts.ru/doc/federalnyi-zakon-ot-13072015-n-218-fz-o/#100788" w:history="1">
        <w:r>
          <w:rPr>
            <w:rStyle w:val="846"/>
            <w:rFonts w:ascii="Times New Roman" w:hAnsi="Times New Roman" w:eastAsia="Times New Roman" w:cs="Times New Roman"/>
            <w:b w:val="0"/>
            <w:bCs w:val="0"/>
            <w:sz w:val="28"/>
            <w:szCs w:val="28"/>
          </w:rPr>
        </w:r>
        <w:r>
          <w:rPr>
            <w:rStyle w:val="846"/>
            <w:rFonts w:ascii="Times New Roman" w:hAnsi="Times New Roman" w:eastAsia="Times New Roman" w:cs="Times New Roman"/>
            <w:b w:val="0"/>
            <w:bCs w:val="0"/>
            <w:i w:val="0"/>
            <w:caps w:val="0"/>
            <w:smallCaps w:val="0"/>
            <w:color w:val="000000"/>
            <w:spacing w:val="0"/>
            <w:sz w:val="28"/>
            <w:szCs w:val="28"/>
            <w:u w:val="single"/>
            <w:shd w:val="clear" w:color="auto" w:fill="ffffff"/>
          </w:rPr>
          <w:t xml:space="preserve">статьей 61</w:t>
        </w:r>
      </w:hyperlink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 Закона N 218-ФЗ, при условии наличия согласия на такое уточнение органа государственной власти или органа местного самоуправления, утвердивших соответствующую Схему.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45"/>
        <w:ind w:left="0" w:right="0" w:firstLine="1134"/>
        <w:jc w:val="both"/>
        <w:spacing w:before="0" w:after="0" w:line="57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Так же полагаем возможным руководствоваться следующим: в случае внесения изменений в сведения ЕГР</w:t>
      </w: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Н о площади и местоположении границ земельного участка, образованного в соответствии со </w:t>
      </w:r>
      <w:r>
        <w:rPr>
          <w:rFonts w:ascii="Times New Roman" w:hAnsi="Times New Roman" w:eastAsia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схемой</w:t>
      </w: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, в связи с исправлением Реестровой ошибки на основании представленного заинтересованным лицом межевого плана «обоснованием» возможности внесения таких изменений </w:t>
      </w: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может являться приложение к межевому плану </w:t>
      </w:r>
      <w:r>
        <w:rPr>
          <w:rFonts w:ascii="Times New Roman" w:hAnsi="Times New Roman" w:eastAsia="Times New Roman" w:cs="Times New Roman"/>
          <w:b/>
          <w:bCs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письменного согласия</w:t>
      </w: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  <w:t xml:space="preserve"> уполномоченного органа, ранее утвердившего Схему, на внесение соответствующих изменений.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pStyle w:val="845"/>
        <w:ind w:left="0" w:right="0" w:firstLine="1134"/>
        <w:jc w:val="both"/>
        <w:spacing w:before="0" w:after="0" w:line="57" w:lineRule="atLeast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i w:val="0"/>
          <w:caps w:val="0"/>
          <w:smallCaps w:val="0"/>
          <w:color w:val="000000"/>
          <w:spacing w:val="0"/>
          <w:sz w:val="28"/>
          <w:szCs w:val="28"/>
          <w:shd w:val="clear" w:color="auto" w:fill="ffffff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0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06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Source Han Sans CN Regular">
    <w:panose1 w:val="02000603000000000000"/>
  </w:font>
  <w:font w:name="&amp;apos;PT Astra Serif&amp;apos;">
    <w:panose1 w:val="02000603000000000000"/>
  </w:font>
  <w:font w:name="Calibri">
    <w:panose1 w:val="020F0502020204030204"/>
  </w:font>
  <w:font w:name="SimSun">
    <w:panose1 w:val="02000506000000020000"/>
  </w:font>
  <w:font w:name="Lohit Devanagari">
    <w:panose1 w:val="02000603000000000000"/>
  </w:font>
  <w:font w:name="Mangal">
    <w:panose1 w:val="02040503050306020203"/>
  </w:font>
  <w:font w:name="Times New Roman">
    <w:panose1 w:val="02020603050405020304"/>
  </w:font>
  <w:font w:name="Tahoma">
    <w:panose1 w:val="020B060403050404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3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  <w:jc w:val="center"/>
    </w:pPr>
    <w:r>
      <w:rPr>
        <w:rFonts w:ascii="Times New Roman" w:hAnsi="Times New Roman" w:eastAsia="Times New Roman" w:cs="Times New Roman"/>
        <w:sz w:val="20"/>
        <w:szCs w:val="20"/>
      </w:rPr>
    </w:r>
    <w:fldSimple w:instr="PAGE \* MERGEFORMAT">
      <w:r>
        <w:t xml:space="preserve">1</w:t>
      </w:r>
    </w:fldSimple>
    <w:r/>
    <w:r/>
  </w:p>
  <w:p>
    <w:pPr>
      <w:pStyle w:val="681"/>
    </w:pP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8"/>
    <w:next w:val="828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29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8"/>
    <w:next w:val="828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29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28"/>
    <w:next w:val="828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29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28"/>
    <w:next w:val="828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29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28"/>
    <w:next w:val="828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29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28"/>
    <w:next w:val="828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29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28"/>
    <w:next w:val="828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29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28"/>
    <w:next w:val="828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29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28"/>
    <w:next w:val="828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29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28"/>
    <w:next w:val="828"/>
    <w:link w:val="6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4">
    <w:name w:val="Title Char"/>
    <w:basedOn w:val="829"/>
    <w:link w:val="673"/>
    <w:uiPriority w:val="10"/>
    <w:rPr>
      <w:sz w:val="48"/>
      <w:szCs w:val="48"/>
    </w:rPr>
  </w:style>
  <w:style w:type="paragraph" w:styleId="675">
    <w:name w:val="Subtitle"/>
    <w:basedOn w:val="828"/>
    <w:next w:val="828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29"/>
    <w:link w:val="675"/>
    <w:uiPriority w:val="11"/>
    <w:rPr>
      <w:sz w:val="24"/>
      <w:szCs w:val="24"/>
    </w:rPr>
  </w:style>
  <w:style w:type="paragraph" w:styleId="677">
    <w:name w:val="Quote"/>
    <w:basedOn w:val="828"/>
    <w:next w:val="828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28"/>
    <w:next w:val="828"/>
    <w:link w:val="6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28"/>
    <w:link w:val="68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2">
    <w:name w:val="Header Char"/>
    <w:basedOn w:val="829"/>
    <w:link w:val="681"/>
    <w:uiPriority w:val="99"/>
  </w:style>
  <w:style w:type="paragraph" w:styleId="683">
    <w:name w:val="Footer"/>
    <w:basedOn w:val="828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Footer Char"/>
    <w:basedOn w:val="829"/>
    <w:link w:val="683"/>
    <w:uiPriority w:val="99"/>
  </w:style>
  <w:style w:type="paragraph" w:styleId="685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"/>
    <w:basedOn w:val="83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Footnote Text Char"/>
    <w:link w:val="834"/>
    <w:uiPriority w:val="99"/>
    <w:rPr>
      <w:sz w:val="18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29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paragraph" w:styleId="832">
    <w:name w:val="Balloon Text"/>
    <w:basedOn w:val="828"/>
    <w:link w:val="8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33" w:customStyle="1">
    <w:name w:val="Текст выноски Знак"/>
    <w:basedOn w:val="829"/>
    <w:link w:val="832"/>
    <w:uiPriority w:val="99"/>
    <w:semiHidden/>
    <w:rPr>
      <w:rFonts w:ascii="Tahoma" w:hAnsi="Tahoma" w:cs="Tahoma"/>
      <w:sz w:val="16"/>
      <w:szCs w:val="16"/>
    </w:rPr>
  </w:style>
  <w:style w:type="paragraph" w:styleId="834">
    <w:name w:val="footnote text"/>
    <w:basedOn w:val="828"/>
    <w:link w:val="83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835" w:customStyle="1">
    <w:name w:val="Текст сноски Знак"/>
    <w:basedOn w:val="829"/>
    <w:link w:val="834"/>
    <w:uiPriority w:val="99"/>
    <w:semiHidden/>
    <w:rPr>
      <w:sz w:val="20"/>
      <w:szCs w:val="20"/>
    </w:rPr>
  </w:style>
  <w:style w:type="character" w:styleId="836">
    <w:name w:val="footnote reference"/>
    <w:basedOn w:val="829"/>
    <w:uiPriority w:val="99"/>
    <w:semiHidden/>
    <w:unhideWhenUsed/>
    <w:rPr>
      <w:vertAlign w:val="superscript"/>
    </w:rPr>
  </w:style>
  <w:style w:type="paragraph" w:styleId="837">
    <w:name w:val="List Paragraph"/>
    <w:basedOn w:val="828"/>
    <w:uiPriority w:val="34"/>
    <w:qFormat/>
    <w:pPr>
      <w:contextualSpacing/>
      <w:ind w:left="720"/>
    </w:pPr>
  </w:style>
  <w:style w:type="character" w:styleId="838" w:customStyle="1">
    <w:name w:val="Интернет-ссылка"/>
    <w:basedOn w:val="829"/>
    <w:uiPriority w:val="99"/>
    <w:unhideWhenUsed/>
    <w:rPr>
      <w:color w:val="0000ff" w:themeColor="hyperlink"/>
      <w:u w:val="single"/>
    </w:rPr>
  </w:style>
  <w:style w:type="character" w:styleId="839" w:customStyle="1">
    <w:name w:val="value"/>
    <w:basedOn w:val="829"/>
  </w:style>
  <w:style w:type="character" w:styleId="840">
    <w:name w:val="Hyperlink"/>
    <w:basedOn w:val="829"/>
    <w:uiPriority w:val="99"/>
    <w:unhideWhenUsed/>
    <w:rPr>
      <w:color w:val="0000ff" w:themeColor="hyperlink"/>
      <w:u w:val="single"/>
    </w:rPr>
  </w:style>
  <w:style w:type="paragraph" w:styleId="841" w:customStyle="1">
    <w:name w:val="msonormal_mr_css_attr"/>
    <w:basedOn w:val="82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842" w:customStyle="1">
    <w:name w:val="Standard"/>
    <w:pPr>
      <w:spacing w:after="0" w:line="240" w:lineRule="auto"/>
    </w:pPr>
    <w:rPr>
      <w:rFonts w:ascii="Times New Roman" w:hAnsi="Times New Roman" w:eastAsia="SimSun" w:cs="Mangal"/>
      <w:sz w:val="24"/>
      <w:szCs w:val="24"/>
      <w:lang w:eastAsia="zh-CN" w:bidi="hi-IN"/>
    </w:rPr>
  </w:style>
  <w:style w:type="paragraph" w:styleId="843">
    <w:name w:val="Plain Text"/>
    <w:basedOn w:val="828"/>
    <w:link w:val="844"/>
    <w:uiPriority w:val="99"/>
    <w:unhideWhenUsed/>
    <w:pPr>
      <w:spacing w:after="0" w:line="240" w:lineRule="auto"/>
    </w:pPr>
    <w:rPr>
      <w:rFonts w:ascii="Calibri" w:hAnsi="Calibri"/>
      <w:szCs w:val="21"/>
    </w:rPr>
  </w:style>
  <w:style w:type="character" w:styleId="844" w:customStyle="1">
    <w:name w:val="Текст Знак"/>
    <w:basedOn w:val="829"/>
    <w:link w:val="843"/>
    <w:uiPriority w:val="99"/>
    <w:rPr>
      <w:rFonts w:ascii="Calibri" w:hAnsi="Calibri"/>
      <w:szCs w:val="21"/>
    </w:rPr>
  </w:style>
  <w:style w:type="paragraph" w:styleId="845" w:customStyle="1">
    <w:name w:val="Text body"/>
    <w:qFormat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'PT Astra Serif'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en-US" w:eastAsia="zh-CN" w:bidi="ar-SA"/>
      <w14:ligatures w14:val="none"/>
    </w:rPr>
  </w:style>
  <w:style w:type="character" w:styleId="846" w:customStyle="1">
    <w:name w:val="Internet link"/>
    <w:qFormat/>
    <w:rPr>
      <w:rFonts w:ascii="Liberation Serif" w:hAnsi="Liberation Serif" w:eastAsia="Source Han Sans CN Regular" w:cs="Lohit Devanagari"/>
      <w:color w:val="000080"/>
      <w:sz w:val="24"/>
      <w:szCs w:val="24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EC02501F54A24466362D0BE6ABD0CE54A6A9246206655906624736B635FFC190D4379A009EC2F7E1tAx2E" TargetMode="External"/><Relationship Id="rId13" Type="http://schemas.openxmlformats.org/officeDocument/2006/relationships/hyperlink" Target="consultantplus://offline/ref=FAD7DBC41BDEBD715CEA279B46AD2E25A8754B1BE3A9085778F0D9AE15EDADD0E3978673D301BC26937A904BEF2FBB56DAD410F6F6A0F12EnDT2K" TargetMode="External"/><Relationship Id="rId14" Type="http://schemas.openxmlformats.org/officeDocument/2006/relationships/hyperlink" Target="https://login.consultant.ru/link/?req=doc&amp;base=LAW&amp;n=405960&amp;dst=100101" TargetMode="External"/><Relationship Id="rId15" Type="http://schemas.openxmlformats.org/officeDocument/2006/relationships/hyperlink" Target="https://legalacts.ru/kodeks/ZK-RF/" TargetMode="External"/><Relationship Id="rId16" Type="http://schemas.openxmlformats.org/officeDocument/2006/relationships/hyperlink" Target="https://legalacts.ru/kodeks/ZK-RF/glava-i.1/statja-11.9/#002604" TargetMode="External"/><Relationship Id="rId17" Type="http://schemas.openxmlformats.org/officeDocument/2006/relationships/hyperlink" Target="https://legalacts.ru/doc/federalnyi-zakon-ot-13072015-n-218-fz-o/#10078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A4B31-4F42-4B7E-9E88-747009F3A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R22KTV07091978</dc:creator>
  <cp:revision>383</cp:revision>
  <dcterms:created xsi:type="dcterms:W3CDTF">2017-10-17T04:32:00Z</dcterms:created>
  <dcterms:modified xsi:type="dcterms:W3CDTF">2025-06-26T08:22:57Z</dcterms:modified>
</cp:coreProperties>
</file>